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Redactiestatuut</w:t>
      </w:r>
    </w:p>
    <w:p>
      <w:pPr>
        <w:spacing w:after="80"/>
      </w:pPr>
      <w:r>
        <w:rPr>
          <w:rFonts w:ascii="Aptos Display" w:hAnsi="Aptos Display"/>
          <w:b/>
          <w:color w:val="193348"/>
          <w:sz w:val="34"/>
        </w:rPr>
        <w:t>Sjtadsomroop Remunj en RTV Midden-Limburg</w:t>
      </w:r>
    </w:p>
    <w:p>
      <w:r>
        <w:rPr>
          <w:i w:val="0"/>
        </w:rPr>
        <w:t>Stichting Cross Media Service Limburg</w:t>
      </w:r>
    </w:p>
    <w:p>
      <w:r>
        <w:rPr>
          <w:i/>
        </w:rPr>
        <w:t>Herziene gezamenlijke versie voor vaststelling door bestuur en redactie</w:t>
      </w:r>
    </w:p>
    <w:p>
      <w:pPr>
        <w:pStyle w:val="Heading1"/>
      </w:pPr>
      <w:r>
        <w:t>Inleiding</w:t>
      </w:r>
    </w:p>
    <w:p>
      <w:r>
        <w:rPr>
          <w:i w:val="0"/>
        </w:rPr>
        <w:t>Dit redactiestatuut legt de journalistieke uitgangspunten, verantwoordelijkheden en bevoegdheden vast voor Sjtadsomroop Remunj en RTV Midden-Limburg. Het beschermt de redactionele onafhankelijkheid en biedt medewerkers, vrijwilligers, programmamakers, freelancers, bestuurders, samenwerkingspartners en publiek duidelijkheid over de werkwijze.</w:t>
      </w:r>
    </w:p>
    <w:p>
      <w:r>
        <w:rPr>
          <w:i w:val="0"/>
        </w:rPr>
        <w:t>De twee omroepmerken werken binnen één crossmediale organisatie. Sjtadsomroop Remunj heeft een lokale basis in Roermond. RTV Midden-Limburg richt zich op de bredere regio. Beide merken kunnen mensen, middelen en producties delen, maar iedere publicatie blijft onder redactionele verantwoordelijkheid staan.</w:t>
      </w:r>
    </w:p>
    <w:p>
      <w:pPr>
        <w:pStyle w:val="Heading1"/>
      </w:pPr>
      <w:r>
        <w:t>Artikel 1 Doel en reikwijdte</w:t>
      </w:r>
    </w:p>
    <w:p>
      <w:pPr>
        <w:spacing w:after="80"/>
        <w:ind w:left="490" w:hanging="490"/>
      </w:pPr>
      <w:r>
        <w:t>1. Dit statuut waarborgt onafhankelijke, betrouwbare, pluriforme en controleerbare journalistiek.</w:t>
      </w:r>
    </w:p>
    <w:p>
      <w:pPr>
        <w:spacing w:after="80"/>
        <w:ind w:left="490" w:hanging="490"/>
      </w:pPr>
      <w:r>
        <w:t>2. Het geldt voor televisie, radio, livestreams, websites, sociale media, videoplatforms, podcasts, nieuwsbrieven, teletekstachtige diensten en toekomstige distributievormen van beide omroepmerken.</w:t>
      </w:r>
    </w:p>
    <w:p>
      <w:pPr>
        <w:spacing w:after="80"/>
        <w:ind w:left="490" w:hanging="490"/>
      </w:pPr>
      <w:r>
        <w:t>3. Het geldt voor iedereen die onder verantwoordelijkheid van de organisatie redactionele inhoud maakt of verspreidt, ongeacht arbeidsvorm of vergoeding.</w:t>
      </w:r>
    </w:p>
    <w:p>
      <w:pPr>
        <w:spacing w:after="80"/>
        <w:ind w:left="490" w:hanging="490"/>
      </w:pPr>
      <w:r>
        <w:t>4. Commerciële communicatie, sponsoring en reclame vallen tevens onder de toepasselijke wet- en regelgeving en worden duidelijk van redactionele inhoud gescheiden.</w:t>
      </w:r>
    </w:p>
    <w:p>
      <w:pPr>
        <w:pStyle w:val="Heading1"/>
      </w:pPr>
      <w:r>
        <w:t>Artikel 2 Journalistieke uitgangspunten</w:t>
      </w:r>
    </w:p>
    <w:p>
      <w:r>
        <w:rPr>
          <w:i w:val="0"/>
        </w:rPr>
        <w:t>De redactie werkt volgens de volgende uitgangspunten:</w:t>
      </w:r>
    </w:p>
    <w:p>
      <w:pPr>
        <w:pStyle w:val="ListBullet"/>
        <w:spacing w:after="60"/>
        <w:ind w:left="360" w:hanging="216"/>
      </w:pPr>
      <w:r>
        <w:t>waarheidsgetrouwheid, zorgvuldigheid en controle van feiten;</w:t>
      </w:r>
    </w:p>
    <w:p>
      <w:pPr>
        <w:pStyle w:val="ListBullet"/>
        <w:spacing w:after="60"/>
        <w:ind w:left="360" w:hanging="216"/>
      </w:pPr>
      <w:r>
        <w:t>onafhankelijkheid van politieke, bestuurlijke, commerciële en persoonlijke belangen;</w:t>
      </w:r>
    </w:p>
    <w:p>
      <w:pPr>
        <w:pStyle w:val="ListBullet"/>
        <w:spacing w:after="60"/>
        <w:ind w:left="360" w:hanging="216"/>
      </w:pPr>
      <w:r>
        <w:t>hoor en wederhoor wanneer personen of organisaties door een publicatie wezenlijk kunnen worden geraakt;</w:t>
      </w:r>
    </w:p>
    <w:p>
      <w:pPr>
        <w:pStyle w:val="ListBullet"/>
        <w:spacing w:after="60"/>
        <w:ind w:left="360" w:hanging="216"/>
      </w:pPr>
      <w:r>
        <w:t>onderscheid tussen feiten, analyse, opinie, reclame en amusement;</w:t>
      </w:r>
    </w:p>
    <w:p>
      <w:pPr>
        <w:pStyle w:val="ListBullet"/>
        <w:spacing w:after="60"/>
        <w:ind w:left="360" w:hanging="216"/>
      </w:pPr>
      <w:r>
        <w:t>respect voor menselijke waardigheid, privacy en veiligheid;</w:t>
      </w:r>
    </w:p>
    <w:p>
      <w:pPr>
        <w:pStyle w:val="ListBullet"/>
        <w:spacing w:after="60"/>
        <w:ind w:left="360" w:hanging="216"/>
      </w:pPr>
      <w:r>
        <w:t>pluriformiteit en ruimte voor verschillende relevante perspectieven;</w:t>
      </w:r>
    </w:p>
    <w:p>
      <w:pPr>
        <w:pStyle w:val="ListBullet"/>
        <w:spacing w:after="60"/>
        <w:ind w:left="360" w:hanging="216"/>
      </w:pPr>
      <w:r>
        <w:t>duidelijke bronvermelding waar dit mogelijk en verantwoord is;</w:t>
      </w:r>
    </w:p>
    <w:p>
      <w:pPr>
        <w:pStyle w:val="ListBullet"/>
        <w:spacing w:after="60"/>
        <w:ind w:left="360" w:hanging="216"/>
      </w:pPr>
      <w:r>
        <w:t>transparantie over relevante fouten, correcties en belangen.</w:t>
      </w:r>
    </w:p>
    <w:p>
      <w:pPr>
        <w:pStyle w:val="Heading1"/>
      </w:pPr>
      <w:r>
        <w:t>Artikel 3 Redactionele onafhankelijkheid</w:t>
      </w:r>
    </w:p>
    <w:p>
      <w:pPr>
        <w:spacing w:after="80"/>
        <w:ind w:left="490" w:hanging="490"/>
      </w:pPr>
      <w:r>
        <w:t>5. De hoofdredacteur is eindverantwoordelijk voor de inhoudelijke koers, selectie, vorm, planning en publicatie van redactionele producties.</w:t>
      </w:r>
    </w:p>
    <w:p>
      <w:pPr>
        <w:spacing w:after="80"/>
        <w:ind w:left="490" w:hanging="490"/>
      </w:pPr>
      <w:r>
        <w:t>6. Het bestuur stelt de organisatorische en financiële kaders vast, maar bemoeit zich niet met afzonderlijke onderwerpen, bronnen, gasten, interviews, montagekeuzes, koppen of publicatiemomenten.</w:t>
      </w:r>
    </w:p>
    <w:p>
      <w:pPr>
        <w:spacing w:after="80"/>
        <w:ind w:left="490" w:hanging="490"/>
      </w:pPr>
      <w:r>
        <w:t>7. Het programmabeleidbepalend orgaan bepaalt, voor zover wettelijk van toepassing, de hoofdlijnen van het media-aanbod. Het neemt geen individuele redactionele beslissingen.</w:t>
      </w:r>
    </w:p>
    <w:p>
      <w:pPr>
        <w:spacing w:after="80"/>
        <w:ind w:left="490" w:hanging="490"/>
      </w:pPr>
      <w:r>
        <w:t>8. Adverteerders, sponsoren, subsidiegevers, samenwerkingspartners en andere financiers hebben geen zeggenschap over redactionele keuzes.</w:t>
      </w:r>
    </w:p>
    <w:p>
      <w:pPr>
        <w:spacing w:after="80"/>
        <w:ind w:left="490" w:hanging="490"/>
      </w:pPr>
      <w:r>
        <w:t>9. De redactie mag een opdracht of bijdrage weigeren wanneer deze strijdig is met dit statuut, de wet of de journalistieke integriteit.</w:t>
      </w:r>
    </w:p>
    <w:p>
      <w:pPr>
        <w:pStyle w:val="Heading1"/>
      </w:pPr>
      <w:r>
        <w:t>Artikel 4 Organisatie en verantwoordelijkheden</w:t>
      </w:r>
    </w:p>
    <w:p>
      <w:pPr>
        <w:pStyle w:val="Heading2"/>
      </w:pPr>
      <w:r>
        <w:t>Bestuur</w:t>
      </w:r>
    </w:p>
    <w:p>
      <w:r>
        <w:rPr>
          <w:i w:val="0"/>
        </w:rPr>
        <w:t>Het bestuur is verantwoordelijk voor governance, financiën, continuïteit, personele en technische randvoorwaarden, wettelijke naleving en een veilige werkomgeving. Het bestuur beschermt de redactionele onafhankelijkheid.</w:t>
      </w:r>
    </w:p>
    <w:p>
      <w:pPr>
        <w:pStyle w:val="Heading2"/>
      </w:pPr>
      <w:r>
        <w:t>Hoofdredacteur</w:t>
      </w:r>
    </w:p>
    <w:p>
      <w:r>
        <w:rPr>
          <w:i w:val="0"/>
        </w:rPr>
        <w:t>De hoofdredacteur bewaakt dit statuut, geeft leiding aan de redactie, beslist bij inhoudelijke geschillen, vertegenwoordigt de redactie extern en ziet toe op kwaliteit, correcties, klachten en belangenconflicten.</w:t>
      </w:r>
    </w:p>
    <w:p>
      <w:pPr>
        <w:pStyle w:val="Heading2"/>
      </w:pPr>
      <w:r>
        <w:t>Redactie en programmamakers</w:t>
      </w:r>
    </w:p>
    <w:p>
      <w:r>
        <w:rPr>
          <w:i w:val="0"/>
        </w:rPr>
        <w:t>Redacteuren, verslaggevers, presentatoren, cameramensen, editors, programmamakers, vrijwilligers en freelancers handelen zorgvuldig, melden mogelijke belangen en volgen inhoudelijke aanwijzingen van de hoofdredactie.</w:t>
      </w:r>
    </w:p>
    <w:p>
      <w:pPr>
        <w:pStyle w:val="Heading2"/>
      </w:pPr>
      <w:r>
        <w:t>Redactieoverleg</w:t>
      </w:r>
    </w:p>
    <w:p>
      <w:r>
        <w:rPr>
          <w:i w:val="0"/>
        </w:rPr>
        <w:t>Het periodieke redactieoverleg fungeert in deze organisatie als vertegenwoordiging van de redactie. Het bespreekt journalistieke koers, kwaliteit, veiligheid en toepassing van dit statuut.</w:t>
      </w:r>
    </w:p>
    <w:p>
      <w:pPr>
        <w:pStyle w:val="Heading1"/>
      </w:pPr>
      <w:r>
        <w:t>Artikel 5 Samenwerking tussen beide omroepen</w:t>
      </w:r>
    </w:p>
    <w:p>
      <w:pPr>
        <w:spacing w:after="80"/>
        <w:ind w:left="490" w:hanging="490"/>
      </w:pPr>
      <w:r>
        <w:t>10. Sjtadsomroop Remunj en RTV Midden-Limburg kunnen nieuws, reportages, interviews en programma’s uitwisselen.</w:t>
      </w:r>
    </w:p>
    <w:p>
      <w:pPr>
        <w:spacing w:after="80"/>
        <w:ind w:left="490" w:hanging="490"/>
      </w:pPr>
      <w:r>
        <w:t>11. Bij hergebruik wordt gecontroleerd of de inhoud nog actueel is, bij het bereik van het ontvangende merk past en juridisch opnieuw mag worden gepubliceerd.</w:t>
      </w:r>
    </w:p>
    <w:p>
      <w:pPr>
        <w:spacing w:after="80"/>
        <w:ind w:left="490" w:hanging="490"/>
      </w:pPr>
      <w:r>
        <w:t>12. De bron, maker en eventuele voorwaarden worden intern vastgelegd en waar nodig publiek vermeld.</w:t>
      </w:r>
    </w:p>
    <w:p>
      <w:pPr>
        <w:spacing w:after="80"/>
        <w:ind w:left="490" w:hanging="490"/>
      </w:pPr>
      <w:r>
        <w:t>13. Lokale herkenbaarheid blijft behouden: berichtgeving wordt geplaatst onder de juiste gemeente of regio en krijgt passende context.</w:t>
      </w:r>
    </w:p>
    <w:p>
      <w:pPr>
        <w:spacing w:after="80"/>
        <w:ind w:left="490" w:hanging="490"/>
      </w:pPr>
      <w:r>
        <w:t>14. Samenwerking met externe media of producenten verandert niets aan de eindverantwoordelijkheid van de hoofdredactie.</w:t>
      </w:r>
    </w:p>
    <w:p>
      <w:pPr>
        <w:pStyle w:val="Heading1"/>
      </w:pPr>
      <w:r>
        <w:t>Artikel 6 Redactioneel proces</w:t>
      </w:r>
    </w:p>
    <w:p>
      <w:pPr>
        <w:spacing w:after="80"/>
        <w:ind w:left="490" w:hanging="490"/>
      </w:pPr>
      <w:r>
        <w:t>15. Onderwerpen worden geselecteerd op nieuwswaarde, betrouwbaarheid, maatschappelijke relevantie, regionale betekenis en beschikbare capaciteit.</w:t>
      </w:r>
    </w:p>
    <w:p>
      <w:pPr>
        <w:spacing w:after="80"/>
        <w:ind w:left="490" w:hanging="490"/>
      </w:pPr>
      <w:r>
        <w:t>16. De redactie gebruikt bij voorkeur primaire bronnen. Informatie van sociale media, tipgevers of andere media wordt zelfstandig gecontroleerd voordat zij als feit wordt gepubliceerd.</w:t>
      </w:r>
    </w:p>
    <w:p>
      <w:pPr>
        <w:spacing w:after="80"/>
        <w:ind w:left="490" w:hanging="490"/>
      </w:pPr>
      <w:r>
        <w:t>17. Embargo’s worden alleen aanvaard wanneer afspraken duidelijk en journalistiek verdedigbaar zijn.</w:t>
      </w:r>
    </w:p>
    <w:p>
      <w:pPr>
        <w:spacing w:after="80"/>
        <w:ind w:left="490" w:hanging="490"/>
      </w:pPr>
      <w:r>
        <w:t>18. De verantwoordelijke maker controleert namen, data, locaties, citaten en beeldrechten. Bij gevoelige of risicovolle publicaties vindt extra eindredactionele controle plaats.</w:t>
      </w:r>
    </w:p>
    <w:p>
      <w:pPr>
        <w:spacing w:after="80"/>
        <w:ind w:left="490" w:hanging="490"/>
      </w:pPr>
      <w:r>
        <w:t>19. Niet-bevestigde meldingen worden als zodanig benoemd of niet gepubliceerd.</w:t>
      </w:r>
    </w:p>
    <w:p>
      <w:pPr>
        <w:pStyle w:val="Heading1"/>
      </w:pPr>
      <w:r>
        <w:t>Artikel 7 Hoor en wederhoor</w:t>
      </w:r>
    </w:p>
    <w:p>
      <w:pPr>
        <w:spacing w:after="80"/>
        <w:ind w:left="490" w:hanging="490"/>
      </w:pPr>
      <w:r>
        <w:t>20. Een persoon of organisatie die door een ernstige beschuldiging of nadelige feitelijke bewering wordt geraakt, krijgt in beginsel een redelijke gelegenheid om te reageren.</w:t>
      </w:r>
    </w:p>
    <w:p>
      <w:pPr>
        <w:spacing w:after="80"/>
        <w:ind w:left="490" w:hanging="490"/>
      </w:pPr>
      <w:r>
        <w:t>21. De reactietermijn hangt af van urgentie, nieuwsbelang en bereikbaarheid. De redactie legt contactpogingen vast.</w:t>
      </w:r>
    </w:p>
    <w:p>
      <w:pPr>
        <w:spacing w:after="80"/>
        <w:ind w:left="490" w:hanging="490"/>
      </w:pPr>
      <w:r>
        <w:t>22. Geen reactie ontvangen betekent niet automatisch dat publicatie onmogelijk is. In de publicatie wordt dan vermeld dat om een reactie is gevraagd, indien dat relevant is.</w:t>
      </w:r>
    </w:p>
    <w:p>
      <w:pPr>
        <w:spacing w:after="80"/>
        <w:ind w:left="490" w:hanging="490"/>
      </w:pPr>
      <w:r>
        <w:t>23. Nieuwe relevante informatie na publicatie kan leiden tot aanvulling, correctie of vervolgbericht.</w:t>
      </w:r>
    </w:p>
    <w:p>
      <w:pPr>
        <w:pStyle w:val="Heading1"/>
      </w:pPr>
      <w:r>
        <w:t>Artikel 8 Privacy en kwetsbare personen</w:t>
      </w:r>
    </w:p>
    <w:p>
      <w:pPr>
        <w:spacing w:after="80"/>
        <w:ind w:left="490" w:hanging="490"/>
      </w:pPr>
      <w:r>
        <w:t>24. De redactie weegt het publieke belang af tegen de persoonlijke levenssfeer en publiceert niet meer persoonsgegevens dan nodig.</w:t>
      </w:r>
    </w:p>
    <w:p>
      <w:pPr>
        <w:spacing w:after="80"/>
        <w:ind w:left="490" w:hanging="490"/>
      </w:pPr>
      <w:r>
        <w:t>25. Bij minderjarigen, slachtoffers, nabestaanden, mensen in een afhankelijke positie en personen met een verhoogd veiligheidsrisico geldt extra terughoudendheid.</w:t>
      </w:r>
    </w:p>
    <w:p>
      <w:pPr>
        <w:spacing w:after="80"/>
        <w:ind w:left="490" w:hanging="490"/>
      </w:pPr>
      <w:r>
        <w:t>26. Herkenbare opnamen in niet-openbare situaties worden alleen gemaakt en gebruikt met een geldige journalistieke of juridische grondslag.</w:t>
      </w:r>
    </w:p>
    <w:p>
      <w:pPr>
        <w:spacing w:after="80"/>
        <w:ind w:left="490" w:hanging="490"/>
      </w:pPr>
      <w:r>
        <w:t>27. Schokkende beelden worden alleen gebruikt wanneer zij noodzakelijk zijn voor het begrip van het nieuws en zorgvuldig worden aangekondigd.</w:t>
      </w:r>
    </w:p>
    <w:p>
      <w:pPr>
        <w:pStyle w:val="Heading1"/>
      </w:pPr>
      <w:r>
        <w:t>Artikel 9 Bronnen en vertrouwelijkheid</w:t>
      </w:r>
    </w:p>
    <w:p>
      <w:pPr>
        <w:spacing w:after="80"/>
        <w:ind w:left="490" w:hanging="490"/>
      </w:pPr>
      <w:r>
        <w:t>28. De redactie beschermt vertrouwelijke bronnen en deelt hun identiteit niet buiten de kring die deze voor de journalistieke beoordeling moet kennen, behoudens een zwaarwegende wettelijke noodzaak.</w:t>
      </w:r>
    </w:p>
    <w:p>
      <w:pPr>
        <w:spacing w:after="80"/>
        <w:ind w:left="490" w:hanging="490"/>
      </w:pPr>
      <w:r>
        <w:t>29. Afspraken over anonimiteit worden vooraf zo concreet mogelijk gemaakt.</w:t>
      </w:r>
    </w:p>
    <w:p>
      <w:pPr>
        <w:spacing w:after="80"/>
        <w:ind w:left="490" w:hanging="490"/>
      </w:pPr>
      <w:r>
        <w:t>30. Anonieme informatie wordt alleen gebruikt wanneer het nieuwsbelang dit rechtvaardigt en voldoende aanvullende controle mogelijk is.</w:t>
      </w:r>
    </w:p>
    <w:p>
      <w:pPr>
        <w:spacing w:after="80"/>
        <w:ind w:left="490" w:hanging="490"/>
      </w:pPr>
      <w:r>
        <w:t>31. Opnamen of citaten buiten publicatie, onder embargo of niet voor toeschrijving worden overeenkomstig de gemaakte afspraak behandeld.</w:t>
      </w:r>
    </w:p>
    <w:p>
      <w:pPr>
        <w:pStyle w:val="Heading1"/>
      </w:pPr>
      <w:r>
        <w:t>Artikel 10 Integriteit en belangenverstrengeling</w:t>
      </w:r>
    </w:p>
    <w:p>
      <w:pPr>
        <w:spacing w:after="80"/>
        <w:ind w:left="490" w:hanging="490"/>
      </w:pPr>
      <w:r>
        <w:t>32. Iedere betrokkene meldt financiële, bestuurlijke, politieke, familiale of andere belangen die de schijn van vooringenomenheid kunnen veroorzaken.</w:t>
      </w:r>
    </w:p>
    <w:p>
      <w:pPr>
        <w:spacing w:after="80"/>
        <w:ind w:left="490" w:hanging="490"/>
      </w:pPr>
      <w:r>
        <w:t>33. De hoofdredactie bepaalt of openbaarmaking, aanvullende controle, overdracht van het onderwerp of terugtrekking nodig is.</w:t>
      </w:r>
    </w:p>
    <w:p>
      <w:pPr>
        <w:spacing w:after="80"/>
        <w:ind w:left="490" w:hanging="490"/>
      </w:pPr>
      <w:r>
        <w:t>34. Redactionele medewerkers aanvaarden geen geschenken, reizen, vergoedingen of voordelen die hun onafhankelijkheid kunnen beïnvloeden. Kleine attenties zonder tegenprestatie worden gemeld wanneer twijfel kan ontstaan.</w:t>
      </w:r>
    </w:p>
    <w:p>
      <w:pPr>
        <w:spacing w:after="80"/>
        <w:ind w:left="490" w:hanging="490"/>
      </w:pPr>
      <w:r>
        <w:t>35. Persoonlijke politieke of maatschappelijke activiteiten mogen niet worden gepresenteerd als standpunt van de omroep.</w:t>
      </w:r>
    </w:p>
    <w:p>
      <w:pPr>
        <w:pStyle w:val="Heading1"/>
      </w:pPr>
      <w:r>
        <w:t>Artikel 11 Reclame sponsoring en betaalde inhoud</w:t>
      </w:r>
    </w:p>
    <w:p>
      <w:pPr>
        <w:spacing w:after="80"/>
        <w:ind w:left="490" w:hanging="490"/>
      </w:pPr>
      <w:r>
        <w:t>36. Redactionele inhoud en commerciële communicatie zijn organisatorisch en herkenbaar van elkaar gescheiden.</w:t>
      </w:r>
    </w:p>
    <w:p>
      <w:pPr>
        <w:spacing w:after="80"/>
        <w:ind w:left="490" w:hanging="490"/>
      </w:pPr>
      <w:r>
        <w:t>37. Advertorials, partnerbijdragen en andere betaalde inhoud worden duidelijk en direct als reclame, advertorial of gesponsorde inhoud aangeduid.</w:t>
      </w:r>
    </w:p>
    <w:p>
      <w:pPr>
        <w:spacing w:after="80"/>
        <w:ind w:left="490" w:hanging="490"/>
      </w:pPr>
      <w:r>
        <w:t>38. De omroep blijft verantwoordelijk voor wat zij publiceert en kan commerciële inhoud weigeren of verwijderen.</w:t>
      </w:r>
    </w:p>
    <w:p>
      <w:pPr>
        <w:spacing w:after="80"/>
        <w:ind w:left="490" w:hanging="490"/>
      </w:pPr>
      <w:r>
        <w:t>39. Sponsoring geeft geen recht op positieve aandacht, het tegenhouden van nieuws of inzage in redactionele producties vóór publicatie.</w:t>
      </w:r>
    </w:p>
    <w:p>
      <w:pPr>
        <w:spacing w:after="80"/>
        <w:ind w:left="490" w:hanging="490"/>
      </w:pPr>
      <w:r>
        <w:t>40. Product placement, sponsoring en reclame worden behandeld volgens de Mediawet, de Nederlandse Reclame Code en overige toepasselijke regels.</w:t>
      </w:r>
    </w:p>
    <w:p>
      <w:pPr>
        <w:pStyle w:val="Heading1"/>
      </w:pPr>
      <w:r>
        <w:t>Artikel 12 Auteursrecht en aangeleverd materiaal</w:t>
      </w:r>
    </w:p>
    <w:p>
      <w:pPr>
        <w:spacing w:after="80"/>
        <w:ind w:left="490" w:hanging="490"/>
      </w:pPr>
      <w:r>
        <w:t>41. Materiaal van derden wordt alleen gebruikt met toestemming, een geldige licentie, een wettelijke uitzondering of een andere aantoonbare grondslag.</w:t>
      </w:r>
    </w:p>
    <w:p>
      <w:pPr>
        <w:spacing w:after="80"/>
        <w:ind w:left="490" w:hanging="490"/>
      </w:pPr>
      <w:r>
        <w:t>42. Bij aangeleverde foto’s, video’s en teksten controleert de redactie voor zover redelijkerwijs mogelijk wie rechthebbende is en welke voorwaarden gelden.</w:t>
      </w:r>
    </w:p>
    <w:p>
      <w:pPr>
        <w:spacing w:after="80"/>
        <w:ind w:left="490" w:hanging="490"/>
      </w:pPr>
      <w:r>
        <w:t>43. Een bronvermelding vervangt geen toestemming wanneer toestemming vereist is.</w:t>
      </w:r>
    </w:p>
    <w:p>
      <w:pPr>
        <w:spacing w:after="80"/>
        <w:ind w:left="490" w:hanging="490"/>
      </w:pPr>
      <w:r>
        <w:t>44. Eigen producties worden beheerd volgens de afspraken met makers, werknemers, vrijwilligers, freelancers en producenten.</w:t>
      </w:r>
    </w:p>
    <w:p>
      <w:pPr>
        <w:pStyle w:val="Heading1"/>
      </w:pPr>
      <w:r>
        <w:t>Artikel 13 Digitale hulpmiddelen en kunstmatige intelligentie</w:t>
      </w:r>
    </w:p>
    <w:p>
      <w:pPr>
        <w:spacing w:after="80"/>
        <w:ind w:left="490" w:hanging="490"/>
      </w:pPr>
      <w:r>
        <w:t>45. Digitale hulpmiddelen en kunstmatige intelligentie mogen ondersteuning bieden bij onder meer transcriptie, vertaling, taalcorrectie, ordening, samenvatting, researchvoorbereiding en eerste tekstvoorstellen.</w:t>
      </w:r>
    </w:p>
    <w:p>
      <w:pPr>
        <w:spacing w:after="80"/>
        <w:ind w:left="490" w:hanging="490"/>
      </w:pPr>
      <w:r>
        <w:t>46. Een mens controleert vóór publicatie de feiten, context, bronnen, citaten, privacy, auteursrecht en uiteindelijke formulering. De redactie blijft verantwoordelijk.</w:t>
      </w:r>
    </w:p>
    <w:p>
      <w:pPr>
        <w:spacing w:after="80"/>
        <w:ind w:left="490" w:hanging="490"/>
      </w:pPr>
      <w:r>
        <w:t>47. Vertrouwelijke bronnen, niet-openbare persoonsgegevens en embargo-informatie worden niet zonder passende waarborgen in externe AI-diensten ingevoerd.</w:t>
      </w:r>
    </w:p>
    <w:p>
      <w:pPr>
        <w:spacing w:after="80"/>
        <w:ind w:left="490" w:hanging="490"/>
      </w:pPr>
      <w:r>
        <w:t>48. Realistisch door AI gegenereerd of wezenlijk gemanipuleerd beeld, geluid of video wordt duidelijk als zodanig herkenbaar gemaakt. Misleidende nabootsing van echte personen of gebeurtenissen is niet toegestaan.</w:t>
      </w:r>
    </w:p>
    <w:p>
      <w:pPr>
        <w:spacing w:after="80"/>
        <w:ind w:left="490" w:hanging="490"/>
      </w:pPr>
      <w:r>
        <w:t>49. Volledig automatisch gegenereerde publicaties over onderwerpen van publiek belang worden niet zonder menselijke redactionele controle geplaatst.</w:t>
      </w:r>
    </w:p>
    <w:p>
      <w:pPr>
        <w:pStyle w:val="Heading1"/>
      </w:pPr>
      <w:r>
        <w:t>Artikel 14 Correcties verwijdering en archief</w:t>
      </w:r>
    </w:p>
    <w:p>
      <w:pPr>
        <w:spacing w:after="80"/>
        <w:ind w:left="490" w:hanging="490"/>
      </w:pPr>
      <w:r>
        <w:t>50. Aantoonbare feitelijke fouten worden zo snel mogelijk gecorrigeerd. Bij wezenlijke wijzigingen wordt de correctie voor het publiek herkenbaar gemaakt.</w:t>
      </w:r>
    </w:p>
    <w:p>
      <w:pPr>
        <w:spacing w:after="80"/>
        <w:ind w:left="490" w:hanging="490"/>
      </w:pPr>
      <w:r>
        <w:t>51. Een verzoek tot correctie, aanvulling, anonimisering of verwijdering wordt inhoudelijk beoordeeld door de hoofdredactie. Het enkele feit dat informatie onwelgevallig is, is geen reden voor verwijdering.</w:t>
      </w:r>
    </w:p>
    <w:p>
      <w:pPr>
        <w:spacing w:after="80"/>
        <w:ind w:left="490" w:hanging="490"/>
      </w:pPr>
      <w:r>
        <w:t>52. Publicaties kunnen worden aangepast of verwijderd wanneer wet, veiligheid, privacy, auteursrecht, een rechterlijke beslissing of zwaarwegende journalistieke redenen dit vereisen.</w:t>
      </w:r>
    </w:p>
    <w:p>
      <w:pPr>
        <w:spacing w:after="80"/>
        <w:ind w:left="490" w:hanging="490"/>
      </w:pPr>
      <w:r>
        <w:t>53. Gepubliceerd materiaal wordt waar mogelijk duurzaam gearchiveerd. Correcties worden ook in afgeleide kanalen doorgevoerd wanneer dat redelijkerwijs mogelijk is.</w:t>
      </w:r>
    </w:p>
    <w:p>
      <w:pPr>
        <w:pStyle w:val="Heading1"/>
      </w:pPr>
      <w:r>
        <w:t>Artikel 15 Klachten</w:t>
      </w:r>
    </w:p>
    <w:p>
      <w:pPr>
        <w:spacing w:after="80"/>
        <w:ind w:left="490" w:hanging="490"/>
      </w:pPr>
      <w:r>
        <w:t>54. Klachten over redactionele inhoud worden ingediend via het op de website vermelde redactieadres en bevatten bij voorkeur de betreffende publicatie, datum, concrete klacht en gewenste reactie.</w:t>
      </w:r>
    </w:p>
    <w:p>
      <w:pPr>
        <w:spacing w:after="80"/>
        <w:ind w:left="490" w:hanging="490"/>
      </w:pPr>
      <w:r>
        <w:t>55. De hoofdredactie bevestigt de klacht en streeft naar een inhoudelijke reactie binnen veertien kalenderdagen. Wanneer meer tijd nodig is, ontvangt de klager daarvan bericht.</w:t>
      </w:r>
    </w:p>
    <w:p>
      <w:pPr>
        <w:spacing w:after="80"/>
        <w:ind w:left="490" w:hanging="490"/>
      </w:pPr>
      <w:r>
        <w:t>56. Is de hoofdredacteur zelf onderwerp van de klacht, dan wijst het bestuur een onafhankelijke behandelaar aan zonder de redactionele beoordeling over te nemen.</w:t>
      </w:r>
    </w:p>
    <w:p>
      <w:pPr>
        <w:spacing w:after="80"/>
        <w:ind w:left="490" w:hanging="490"/>
      </w:pPr>
      <w:r>
        <w:t>57. De behandeling van een klacht laat het recht onverlet om een bevoegde externe instantie of rechter te benaderen.</w:t>
      </w:r>
    </w:p>
    <w:p>
      <w:pPr>
        <w:pStyle w:val="Heading1"/>
      </w:pPr>
      <w:r>
        <w:t>Artikel 16 Veiligheid en druk van buitenaf</w:t>
      </w:r>
    </w:p>
    <w:p>
      <w:pPr>
        <w:spacing w:after="80"/>
        <w:ind w:left="490" w:hanging="490"/>
      </w:pPr>
      <w:r>
        <w:t>58. Bedreiging, intimidatie, agressie en ongeoorloofde druk op makers worden gemeld bij hoofdredactie en bestuur.</w:t>
      </w:r>
    </w:p>
    <w:p>
      <w:pPr>
        <w:spacing w:after="80"/>
        <w:ind w:left="490" w:hanging="490"/>
      </w:pPr>
      <w:r>
        <w:t>59. De organisatie neemt redelijke maatregelen voor fysieke, digitale en psychosociale veiligheid en ondersteunt betrokken makers bij incidenten.</w:t>
      </w:r>
    </w:p>
    <w:p>
      <w:pPr>
        <w:spacing w:after="80"/>
        <w:ind w:left="490" w:hanging="490"/>
      </w:pPr>
      <w:r>
        <w:t>60. Een publicatie wordt niet uitsluitend wegens dreiging aangepast of ingetrokken; veiligheid en publiek belang worden door de hoofdredactie zorgvuldig afgewogen.</w:t>
      </w:r>
    </w:p>
    <w:p>
      <w:pPr>
        <w:pStyle w:val="Heading1"/>
      </w:pPr>
      <w:r>
        <w:t>Artikel 17 Benoeming en positie van de hoofdredacteur</w:t>
      </w:r>
    </w:p>
    <w:p>
      <w:pPr>
        <w:spacing w:after="80"/>
        <w:ind w:left="490" w:hanging="490"/>
      </w:pPr>
      <w:r>
        <w:t>61. Het bestuur benoemt, schorst en ontslaat de hoofdredacteur na het redactieoverleg te hebben gehoord.</w:t>
      </w:r>
    </w:p>
    <w:p>
      <w:pPr>
        <w:spacing w:after="80"/>
        <w:ind w:left="490" w:hanging="490"/>
      </w:pPr>
      <w:r>
        <w:t>62. Een inhoudelijk verschil van inzicht over een zorgvuldig en rechtmatig genomen redactionele beslissing is op zichzelf geen grond voor een maatregel tegen de hoofdredacteur.</w:t>
      </w:r>
    </w:p>
    <w:p>
      <w:pPr>
        <w:spacing w:after="80"/>
        <w:ind w:left="490" w:hanging="490"/>
      </w:pPr>
      <w:r>
        <w:t>63. Bij langdurige afwezigheid wijst de organisatie een waarnemend hoofdredacteur aan met dezelfde inhoudelijke bevoegdheden.</w:t>
      </w:r>
    </w:p>
    <w:p>
      <w:pPr>
        <w:spacing w:after="80"/>
        <w:ind w:left="490" w:hanging="490"/>
      </w:pPr>
      <w:r>
        <w:t>64. Wanneer de hoofdredacteur tevens een bestuurlijke functie vervult, worden mogelijke rolconflicten vooraf gemeld en wordt voor het betreffende besluit een onafhankelijke vervanger aangewezen.</w:t>
      </w:r>
    </w:p>
    <w:p>
      <w:pPr>
        <w:pStyle w:val="Heading1"/>
      </w:pPr>
      <w:r>
        <w:t>Artikel 18 Geschillen over redactionele onafhankelijkheid</w:t>
      </w:r>
    </w:p>
    <w:p>
      <w:pPr>
        <w:spacing w:after="80"/>
        <w:ind w:left="490" w:hanging="490"/>
      </w:pPr>
      <w:r>
        <w:t>65. Een intern geschil over toepassing van dit statuut wordt eerst besproken tussen betrokkene en hoofdredacteur.</w:t>
      </w:r>
    </w:p>
    <w:p>
      <w:pPr>
        <w:spacing w:after="80"/>
        <w:ind w:left="490" w:hanging="490"/>
      </w:pPr>
      <w:r>
        <w:t>66. Wanneer dit niet tot een oplossing leidt, bespreken hoofdredactie, redactievertegenwoordiging en bestuur uitsluitend de toepassing van het statuut, met behoud van de inhoudelijke bevoegdheid van de hoofdredactie.</w:t>
      </w:r>
    </w:p>
    <w:p>
      <w:pPr>
        <w:spacing w:after="80"/>
        <w:ind w:left="490" w:hanging="490"/>
      </w:pPr>
      <w:r>
        <w:t>67. Indien nodig kan gezamenlijk een onafhankelijke deskundige of bemiddelaar worden gevraagd advies uit te brengen.</w:t>
      </w:r>
    </w:p>
    <w:p>
      <w:pPr>
        <w:pStyle w:val="Heading1"/>
      </w:pPr>
      <w:r>
        <w:t>Artikel 19 Evaluatie en wijziging</w:t>
      </w:r>
    </w:p>
    <w:p>
      <w:pPr>
        <w:spacing w:after="80"/>
        <w:ind w:left="490" w:hanging="490"/>
      </w:pPr>
      <w:r>
        <w:t>68. Het statuut wordt ten minste eenmaal per jaar en bij belangrijke organisatorische of wettelijke veranderingen geëvalueerd.</w:t>
      </w:r>
    </w:p>
    <w:p>
      <w:pPr>
        <w:spacing w:after="80"/>
        <w:ind w:left="490" w:hanging="490"/>
      </w:pPr>
      <w:r>
        <w:t>69. Wijzigingen worden voorbereid in overleg tussen bestuur, hoofdredacteur en redactieoverleg.</w:t>
      </w:r>
    </w:p>
    <w:p>
      <w:pPr>
        <w:spacing w:after="80"/>
        <w:ind w:left="490" w:hanging="490"/>
      </w:pPr>
      <w:r>
        <w:t>70. Een wijziging treedt pas in werking na schriftelijke vaststelling door het bestuur en instemming van de hoofdredacteur en de redactievertegenwoordiging.</w:t>
      </w:r>
    </w:p>
    <w:p>
      <w:pPr>
        <w:spacing w:after="80"/>
        <w:ind w:left="490" w:hanging="490"/>
      </w:pPr>
      <w:r>
        <w:t>71. De actuele vastgestelde versie wordt voor medewerkers toegankelijk gemaakt en bij voorkeur openbaar gepubliceerd.</w:t>
      </w:r>
    </w:p>
    <w:p>
      <w:pPr>
        <w:pStyle w:val="Heading1"/>
      </w:pPr>
      <w:r>
        <w:t>Artikel 20 Inwerkingtreding en ondertekening</w:t>
      </w:r>
    </w:p>
    <w:p>
      <w:r>
        <w:rPr>
          <w:i w:val="0"/>
        </w:rPr>
        <w:t>Dit gezamenlijke redactiestatuut vervangt na vaststelling de eerdere versie voor Sjtadsomroop Remunj van 6 augustus 2025. Tot de nieuwe versie is vastgesteld, blijft de eerder rechtsgeldig vastgestelde versie van kracht.</w:t>
      </w:r>
    </w:p>
    <w:p>
      <w:r>
        <w:rPr>
          <w:i w:val="0"/>
        </w:rPr>
        <w:t>Vastgesteld te ______________________________ op ______________________________</w:t>
      </w:r>
    </w:p>
    <w:p>
      <w:r>
        <w:rPr>
          <w:i w:val="0"/>
        </w:rPr>
      </w:r>
    </w:p>
    <w:p>
      <w:r>
        <w:rPr>
          <w:i w:val="0"/>
        </w:rPr>
        <w:t>Namens het bestuur van Stichting Cross Media Service Limburg</w:t>
      </w:r>
    </w:p>
    <w:p>
      <w:r>
        <w:rPr>
          <w:i w:val="0"/>
        </w:rPr>
        <w:t>Naam: ____________________________________</w:t>
      </w:r>
    </w:p>
    <w:p>
      <w:r>
        <w:rPr>
          <w:i w:val="0"/>
        </w:rPr>
        <w:t>Functie: __________________________________</w:t>
      </w:r>
    </w:p>
    <w:p>
      <w:r>
        <w:rPr>
          <w:i w:val="0"/>
        </w:rPr>
        <w:t>Handtekening: ______________________________</w:t>
      </w:r>
    </w:p>
    <w:p>
      <w:r>
        <w:rPr>
          <w:i w:val="0"/>
        </w:rPr>
      </w:r>
    </w:p>
    <w:p>
      <w:r>
        <w:rPr>
          <w:i w:val="0"/>
        </w:rPr>
        <w:t>Hoofdredacteur Sjtadsomroop Remunj en RTV Midden-Limburg</w:t>
      </w:r>
    </w:p>
    <w:p>
      <w:r>
        <w:rPr>
          <w:i w:val="0"/>
        </w:rPr>
        <w:t>Naam: ____________________________________</w:t>
      </w:r>
    </w:p>
    <w:p>
      <w:r>
        <w:rPr>
          <w:i w:val="0"/>
        </w:rPr>
        <w:t>Handtekening: ______________________________</w:t>
      </w:r>
    </w:p>
    <w:p>
      <w:r>
        <w:rPr>
          <w:i w:val="0"/>
        </w:rPr>
      </w:r>
    </w:p>
    <w:p>
      <w:r>
        <w:rPr>
          <w:i w:val="0"/>
        </w:rPr>
        <w:t>Namens de redactievertegenwoordiging</w:t>
      </w:r>
    </w:p>
    <w:p>
      <w:r>
        <w:rPr>
          <w:i w:val="0"/>
        </w:rPr>
        <w:t>Naam: ____________________________________</w:t>
      </w:r>
    </w:p>
    <w:p>
      <w:r>
        <w:rPr>
          <w:i w:val="0"/>
        </w:rPr>
        <w:t>Handtekening: ______________________________</w:t>
      </w:r>
    </w:p>
    <w:p>
      <w:pPr>
        <w:pStyle w:val="Heading1"/>
      </w:pPr>
      <w:r>
        <w:t>Bronnen voor de juridische actualisering</w:t>
      </w:r>
    </w:p>
    <w:p>
      <w:pPr>
        <w:pStyle w:val="ListBullet"/>
        <w:spacing w:after="60"/>
        <w:ind w:left="360" w:hanging="216"/>
      </w:pPr>
      <w:r>
        <w:t>Mediawet 2008, in het bijzonder de bepalingen over redactionele onafhankelijkheid en publieke media-instellingen.</w:t>
      </w:r>
    </w:p>
    <w:p>
      <w:pPr>
        <w:pStyle w:val="ListBullet"/>
        <w:spacing w:after="60"/>
        <w:ind w:left="360" w:hanging="216"/>
      </w:pPr>
      <w:r>
        <w:t>Commissariaat voor de Media, toezicht op journalistieke kwaliteitseisen en redactiestatuten.</w:t>
      </w:r>
    </w:p>
    <w:p>
      <w:pPr>
        <w:pStyle w:val="ListBullet"/>
        <w:spacing w:after="60"/>
        <w:ind w:left="360" w:hanging="216"/>
      </w:pPr>
      <w:r>
        <w:t>Europese AI-verordening, transparantieverplichtingen voor AI-gegenereerde en gemanipuleerde inhoud.</w:t>
      </w:r>
    </w:p>
    <w:p>
      <w:pPr>
        <w:pStyle w:val="ListBullet"/>
        <w:spacing w:after="60"/>
        <w:ind w:left="360" w:hanging="216"/>
      </w:pPr>
      <w:r>
        <w:t>Nederlandse Reclame Code en toepasselijke regels voor sponsoring en commerciële communicatie.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C676E"/>
        <w:sz w:val="16"/>
      </w:rPr>
      <w:t xml:space="preserve">Stichting Cross Media Service Limburg  |  pagina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414C56"/>
        <w:sz w:val="16"/>
      </w:rPr>
      <w:t>REDACTIESTATUUT  |  SOR EN RTV MIDDEN-LIMBURG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Aptos" w:hAnsi="Aptos"/>
      <w:color w:val="1C232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